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6"/>
        <w:gridCol w:w="2915"/>
        <w:gridCol w:w="3070"/>
        <w:gridCol w:w="2517"/>
      </w:tblGrid>
      <w:tr w:rsidR="00E51748" w:rsidRPr="001B4B58" w:rsidTr="00BF2492">
        <w:tc>
          <w:tcPr>
            <w:tcW w:w="6881" w:type="dxa"/>
            <w:gridSpan w:val="3"/>
            <w:vMerge w:val="restart"/>
            <w:shd w:val="clear" w:color="auto" w:fill="auto"/>
          </w:tcPr>
          <w:p w:rsidR="00E51748" w:rsidRDefault="002631D1" w:rsidP="002554E5">
            <w:pPr>
              <w:spacing w:before="60" w:after="60"/>
              <w:rPr>
                <w:lang w:val="de-DE"/>
              </w:rPr>
            </w:pPr>
            <w:proofErr w:type="spellStart"/>
            <w:r>
              <w:rPr>
                <w:b/>
                <w:sz w:val="28"/>
                <w:szCs w:val="28"/>
                <w:lang w:val="de-DE"/>
              </w:rPr>
              <w:t>DAkkS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Regelwerk 71 SD 3 01</w:t>
            </w:r>
            <w:r w:rsidR="002554E5">
              <w:rPr>
                <w:b/>
                <w:sz w:val="28"/>
                <w:szCs w:val="28"/>
                <w:lang w:val="de-DE"/>
              </w:rPr>
              <w:t>7</w:t>
            </w:r>
            <w:r w:rsidR="006E1475">
              <w:rPr>
                <w:b/>
                <w:sz w:val="28"/>
                <w:szCs w:val="28"/>
                <w:lang w:val="de-DE"/>
              </w:rPr>
              <w:br/>
            </w:r>
            <w:r w:rsidR="002554E5">
              <w:rPr>
                <w:b/>
                <w:sz w:val="28"/>
                <w:szCs w:val="28"/>
                <w:lang w:val="de-DE"/>
              </w:rPr>
              <w:t>Regeln für die Akkreditierung von Laboratorien im B</w:t>
            </w:r>
            <w:r w:rsidR="002554E5">
              <w:rPr>
                <w:b/>
                <w:sz w:val="28"/>
                <w:szCs w:val="28"/>
                <w:lang w:val="de-DE"/>
              </w:rPr>
              <w:t>e</w:t>
            </w:r>
            <w:r w:rsidR="002554E5">
              <w:rPr>
                <w:b/>
                <w:sz w:val="28"/>
                <w:szCs w:val="28"/>
                <w:lang w:val="de-DE"/>
              </w:rPr>
              <w:t>reich Medizinprodukte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E51748" w:rsidRDefault="001B4B58" w:rsidP="002554E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Änderungsvorschlag:</w:t>
            </w:r>
            <w:r>
              <w:rPr>
                <w:lang w:val="de-DE"/>
              </w:rPr>
              <w:br/>
              <w:t>11.07.2014</w:t>
            </w:r>
          </w:p>
        </w:tc>
      </w:tr>
      <w:tr w:rsidR="00C84714" w:rsidRPr="002554E5" w:rsidTr="00BF2492">
        <w:trPr>
          <w:trHeight w:val="738"/>
        </w:trPr>
        <w:tc>
          <w:tcPr>
            <w:tcW w:w="6881" w:type="dxa"/>
            <w:gridSpan w:val="3"/>
            <w:vMerge/>
            <w:shd w:val="clear" w:color="auto" w:fill="auto"/>
          </w:tcPr>
          <w:p w:rsidR="00C84714" w:rsidRDefault="00C84714" w:rsidP="00542A11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  <w:tc>
          <w:tcPr>
            <w:tcW w:w="2407" w:type="dxa"/>
            <w:shd w:val="clear" w:color="auto" w:fill="auto"/>
          </w:tcPr>
          <w:p w:rsidR="00C84714" w:rsidRDefault="001B4B58" w:rsidP="001B4B58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Stand</w:t>
            </w:r>
            <w:r w:rsidR="006E1475">
              <w:rPr>
                <w:lang w:val="de-DE"/>
              </w:rPr>
              <w:t>:</w:t>
            </w:r>
            <w:r w:rsidR="00E813BD">
              <w:rPr>
                <w:lang w:val="de-DE"/>
              </w:rPr>
              <w:br/>
            </w:r>
            <w:r>
              <w:rPr>
                <w:lang w:val="de-DE"/>
              </w:rPr>
              <w:t>xx</w:t>
            </w:r>
            <w:r w:rsidR="002554E5">
              <w:rPr>
                <w:lang w:val="de-DE"/>
              </w:rPr>
              <w:t>.</w:t>
            </w:r>
            <w:r>
              <w:rPr>
                <w:lang w:val="de-DE"/>
              </w:rPr>
              <w:t>xx</w:t>
            </w:r>
            <w:r w:rsidR="002554E5">
              <w:rPr>
                <w:lang w:val="de-DE"/>
              </w:rPr>
              <w:t>.</w:t>
            </w:r>
            <w:r w:rsidR="00E813BD">
              <w:rPr>
                <w:lang w:val="de-DE"/>
              </w:rPr>
              <w:t>2014</w:t>
            </w:r>
          </w:p>
        </w:tc>
      </w:tr>
      <w:tr w:rsidR="00C84714" w:rsidRPr="002554E5" w:rsidTr="00BF2492">
        <w:tc>
          <w:tcPr>
            <w:tcW w:w="9288" w:type="dxa"/>
            <w:gridSpan w:val="4"/>
            <w:shd w:val="clear" w:color="auto" w:fill="auto"/>
          </w:tcPr>
          <w:p w:rsidR="00C84714" w:rsidRPr="006E1475" w:rsidRDefault="002554E5" w:rsidP="00BF2492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VUP-Kommentarblatt</w:t>
            </w:r>
            <w:bookmarkStart w:id="0" w:name="_GoBack"/>
            <w:bookmarkEnd w:id="0"/>
          </w:p>
        </w:tc>
      </w:tr>
      <w:tr w:rsidR="00BF2492" w:rsidRPr="002554E5" w:rsidTr="00BF2492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BF2492" w:rsidRPr="00C84714" w:rsidRDefault="00BF2492" w:rsidP="00BF249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BF2492" w:rsidRPr="00C84714" w:rsidRDefault="00BF2492" w:rsidP="00BF249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BF2492" w:rsidRPr="00C84714" w:rsidRDefault="00BF2492" w:rsidP="00BF249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BF2492" w:rsidRPr="00C84714" w:rsidRDefault="00BF2492" w:rsidP="00BF2492">
            <w:pPr>
              <w:rPr>
                <w:sz w:val="12"/>
                <w:szCs w:val="12"/>
                <w:lang w:val="de-DE"/>
              </w:rPr>
            </w:pPr>
          </w:p>
        </w:tc>
      </w:tr>
      <w:tr w:rsidR="00031F3C" w:rsidRPr="002554E5" w:rsidTr="006C6DA3">
        <w:tc>
          <w:tcPr>
            <w:tcW w:w="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0FA" w:rsidRDefault="004A40FA" w:rsidP="00542A11">
            <w:pPr>
              <w:rPr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sz w:val="16"/>
                <w:szCs w:val="16"/>
                <w:lang w:val="de-DE"/>
              </w:rPr>
              <w:t>Nr</w:t>
            </w:r>
            <w:proofErr w:type="spellEnd"/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0FA" w:rsidRPr="00E51748" w:rsidRDefault="004A40FA" w:rsidP="00542A11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Vorgabe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0FA" w:rsidRPr="00E51748" w:rsidRDefault="004A40FA" w:rsidP="005A2CFB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Änderungsvorschlag </w:t>
            </w:r>
            <w:r w:rsidRPr="00C84714">
              <w:rPr>
                <w:sz w:val="16"/>
                <w:szCs w:val="16"/>
                <w:lang w:val="de-DE"/>
              </w:rPr>
              <w:t>(Formulierung)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0FA" w:rsidRPr="00E51748" w:rsidRDefault="004A40FA" w:rsidP="00542A11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Begründung / </w:t>
            </w:r>
            <w:r w:rsidRPr="00E51748">
              <w:rPr>
                <w:b/>
                <w:sz w:val="16"/>
                <w:szCs w:val="16"/>
                <w:lang w:val="de-DE"/>
              </w:rPr>
              <w:t>Anmerkung</w:t>
            </w:r>
          </w:p>
        </w:tc>
      </w:tr>
      <w:tr w:rsidR="00040613" w:rsidRPr="002554E5" w:rsidTr="00040613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040613" w:rsidRPr="00C84714" w:rsidRDefault="00040613" w:rsidP="00040613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040613" w:rsidRPr="00C84714" w:rsidRDefault="00040613" w:rsidP="00040613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040613" w:rsidRPr="00C84714" w:rsidRDefault="00040613" w:rsidP="00040613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040613" w:rsidRPr="00C84714" w:rsidRDefault="00040613" w:rsidP="00040613">
            <w:pPr>
              <w:rPr>
                <w:sz w:val="12"/>
                <w:szCs w:val="12"/>
                <w:lang w:val="de-DE"/>
              </w:rPr>
            </w:pPr>
          </w:p>
        </w:tc>
      </w:tr>
      <w:tr w:rsidR="006D1A1A" w:rsidRPr="006D1A1A" w:rsidTr="006D1A1A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6D1A1A" w:rsidRPr="00C84714" w:rsidRDefault="006D1A1A" w:rsidP="006D1A1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6D1A1A" w:rsidRPr="00C84714" w:rsidRDefault="006D1A1A" w:rsidP="006D1A1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6D1A1A" w:rsidRPr="00C84714" w:rsidRDefault="006D1A1A" w:rsidP="006D1A1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6D1A1A" w:rsidRPr="00C84714" w:rsidRDefault="006D1A1A" w:rsidP="006D1A1A">
            <w:pPr>
              <w:rPr>
                <w:sz w:val="12"/>
                <w:szCs w:val="12"/>
                <w:lang w:val="de-DE"/>
              </w:rPr>
            </w:pPr>
          </w:p>
        </w:tc>
      </w:tr>
      <w:tr w:rsidR="00956D00" w:rsidRPr="00031F3C" w:rsidTr="00956D00">
        <w:tc>
          <w:tcPr>
            <w:tcW w:w="799" w:type="dxa"/>
            <w:shd w:val="clear" w:color="auto" w:fill="D9D9D9" w:themeFill="background1" w:themeFillShade="D9"/>
          </w:tcPr>
          <w:p w:rsidR="00956D00" w:rsidRPr="004A40FA" w:rsidRDefault="00956D00" w:rsidP="00956D00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489" w:type="dxa"/>
            <w:gridSpan w:val="3"/>
            <w:shd w:val="clear" w:color="auto" w:fill="D9D9D9" w:themeFill="background1" w:themeFillShade="D9"/>
          </w:tcPr>
          <w:p w:rsidR="00956D00" w:rsidRPr="004A40FA" w:rsidRDefault="002554E5" w:rsidP="00956D00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Allgemeine Anforderungen</w:t>
            </w:r>
          </w:p>
        </w:tc>
      </w:tr>
      <w:tr w:rsidR="001B4642" w:rsidRPr="00031F3C" w:rsidTr="009842BA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1B4642" w:rsidRPr="00C84714" w:rsidRDefault="001B4642" w:rsidP="001B464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1B4642" w:rsidRPr="00C84714" w:rsidRDefault="001B4642" w:rsidP="001B464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1B4642" w:rsidRPr="00C84714" w:rsidRDefault="001B4642" w:rsidP="001B464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1B4642" w:rsidRPr="00C84714" w:rsidRDefault="001B4642" w:rsidP="001B4642">
            <w:pPr>
              <w:rPr>
                <w:sz w:val="12"/>
                <w:szCs w:val="12"/>
                <w:lang w:val="de-DE"/>
              </w:rPr>
            </w:pPr>
          </w:p>
        </w:tc>
      </w:tr>
      <w:tr w:rsidR="001B4B58" w:rsidRPr="002554E5" w:rsidTr="001B4B58">
        <w:trPr>
          <w:trHeight w:val="2452"/>
        </w:trPr>
        <w:tc>
          <w:tcPr>
            <w:tcW w:w="799" w:type="dxa"/>
            <w:vMerge w:val="restart"/>
            <w:tcBorders>
              <w:left w:val="single" w:sz="4" w:space="0" w:color="auto"/>
            </w:tcBorders>
          </w:tcPr>
          <w:p w:rsidR="001B4B58" w:rsidRPr="004A40FA" w:rsidRDefault="001B4B58" w:rsidP="001B4642">
            <w:pPr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2946" w:type="dxa"/>
          </w:tcPr>
          <w:p w:rsidR="001B4B58" w:rsidRPr="002554E5" w:rsidRDefault="001B4B58" w:rsidP="002554E5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2554E5">
              <w:rPr>
                <w:sz w:val="18"/>
                <w:szCs w:val="18"/>
                <w:lang w:val="de-DE"/>
              </w:rPr>
              <w:t>Laboratorien müssen je nach Ge</w:t>
            </w:r>
            <w:r w:rsidRPr="002554E5">
              <w:rPr>
                <w:sz w:val="18"/>
                <w:szCs w:val="18"/>
                <w:lang w:val="de-DE"/>
              </w:rPr>
              <w:t>l</w:t>
            </w:r>
            <w:r w:rsidRPr="002554E5">
              <w:rPr>
                <w:sz w:val="18"/>
                <w:szCs w:val="18"/>
                <w:lang w:val="de-DE"/>
              </w:rPr>
              <w:t>tungsbereich die einschlägigen z</w:t>
            </w:r>
            <w:r w:rsidRPr="002554E5">
              <w:rPr>
                <w:sz w:val="18"/>
                <w:szCs w:val="18"/>
                <w:lang w:val="de-DE"/>
              </w:rPr>
              <w:t>u</w:t>
            </w:r>
            <w:r w:rsidRPr="002554E5">
              <w:rPr>
                <w:sz w:val="18"/>
                <w:szCs w:val="18"/>
                <w:lang w:val="de-DE"/>
              </w:rPr>
              <w:t xml:space="preserve">treffenden Forderungen </w:t>
            </w:r>
          </w:p>
          <w:p w:rsidR="001B4B58" w:rsidRPr="002554E5" w:rsidRDefault="001B4B58" w:rsidP="002554E5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2554E5">
              <w:rPr>
                <w:sz w:val="18"/>
                <w:szCs w:val="18"/>
                <w:lang w:val="de-DE"/>
              </w:rPr>
              <w:t>• des Anhangs 8 der Richtlinie 90/385/EWG und des Anhangs XI der Richtlinie 93/42/EWG bzw. des A</w:t>
            </w:r>
            <w:r w:rsidRPr="002554E5">
              <w:rPr>
                <w:sz w:val="18"/>
                <w:szCs w:val="18"/>
                <w:lang w:val="de-DE"/>
              </w:rPr>
              <w:t>n</w:t>
            </w:r>
            <w:r w:rsidRPr="002554E5">
              <w:rPr>
                <w:sz w:val="18"/>
                <w:szCs w:val="18"/>
                <w:lang w:val="de-DE"/>
              </w:rPr>
              <w:t>hangs IX der Richtlinie 98/79/EG;</w:t>
            </w:r>
          </w:p>
          <w:p w:rsidR="001B4B58" w:rsidRPr="002554E5" w:rsidRDefault="001B4B58" w:rsidP="002554E5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2554E5">
              <w:rPr>
                <w:sz w:val="18"/>
                <w:szCs w:val="18"/>
                <w:lang w:val="de-DE"/>
              </w:rPr>
              <w:t xml:space="preserve">• des Medizinproduktegesetzes6 (MPG) sowie der dazu erlassenen Verordnungen </w:t>
            </w:r>
          </w:p>
          <w:p w:rsidR="001B4B58" w:rsidRPr="006A1464" w:rsidRDefault="001B4B58" w:rsidP="002554E5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3136" w:type="dxa"/>
            <w:shd w:val="clear" w:color="auto" w:fill="D9D9D9" w:themeFill="background1" w:themeFillShade="D9"/>
          </w:tcPr>
          <w:p w:rsidR="001B4B58" w:rsidRPr="002554E5" w:rsidRDefault="001B4B58" w:rsidP="001B4B58">
            <w:pPr>
              <w:spacing w:before="60" w:after="60"/>
              <w:rPr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1B4B58" w:rsidRPr="004A40FA" w:rsidRDefault="001B4B58" w:rsidP="001B4642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</w:tr>
      <w:tr w:rsidR="001B4B58" w:rsidRPr="002554E5" w:rsidTr="009842BA">
        <w:trPr>
          <w:trHeight w:val="2452"/>
        </w:trPr>
        <w:tc>
          <w:tcPr>
            <w:tcW w:w="799" w:type="dxa"/>
            <w:vMerge/>
            <w:tcBorders>
              <w:left w:val="single" w:sz="4" w:space="0" w:color="auto"/>
            </w:tcBorders>
          </w:tcPr>
          <w:p w:rsidR="001B4B58" w:rsidRDefault="001B4B58" w:rsidP="001B4642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946" w:type="dxa"/>
          </w:tcPr>
          <w:p w:rsidR="001B4B58" w:rsidRPr="002554E5" w:rsidRDefault="001B4B58" w:rsidP="001B4B58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2554E5">
              <w:rPr>
                <w:sz w:val="18"/>
                <w:szCs w:val="18"/>
                <w:lang w:val="de-DE"/>
              </w:rPr>
              <w:t>in der jeweils geltenden Fassung erfü</w:t>
            </w:r>
            <w:r w:rsidRPr="002554E5">
              <w:rPr>
                <w:sz w:val="18"/>
                <w:szCs w:val="18"/>
                <w:lang w:val="de-DE"/>
              </w:rPr>
              <w:t>l</w:t>
            </w:r>
            <w:r w:rsidRPr="002554E5">
              <w:rPr>
                <w:sz w:val="18"/>
                <w:szCs w:val="18"/>
                <w:lang w:val="de-DE"/>
              </w:rPr>
              <w:t xml:space="preserve">len. Für </w:t>
            </w:r>
            <w:r w:rsidRPr="002554E5">
              <w:rPr>
                <w:strike/>
                <w:color w:val="FF0000"/>
                <w:sz w:val="18"/>
                <w:szCs w:val="18"/>
                <w:u w:val="single"/>
                <w:lang w:val="de-DE"/>
              </w:rPr>
              <w:t>Herstellerlaboratorien7</w:t>
            </w:r>
            <w:r w:rsidRPr="002554E5">
              <w:rPr>
                <w:color w:val="FF0000"/>
                <w:sz w:val="18"/>
                <w:szCs w:val="18"/>
                <w:u w:val="single"/>
                <w:lang w:val="de-DE"/>
              </w:rPr>
              <w:t xml:space="preserve"> Labor</w:t>
            </w:r>
            <w:r w:rsidRPr="002554E5">
              <w:rPr>
                <w:color w:val="FF0000"/>
                <w:sz w:val="18"/>
                <w:szCs w:val="18"/>
                <w:u w:val="single"/>
                <w:lang w:val="de-DE"/>
              </w:rPr>
              <w:t>a</w:t>
            </w:r>
            <w:r w:rsidRPr="002554E5">
              <w:rPr>
                <w:color w:val="FF0000"/>
                <w:sz w:val="18"/>
                <w:szCs w:val="18"/>
                <w:u w:val="single"/>
                <w:lang w:val="de-DE"/>
              </w:rPr>
              <w:t>torien, die keine unabhängige Dritte im Sinne der Richtlinien 90/385/EWG, 93/42/EWG bzw. 98/79/EG sind,</w:t>
            </w:r>
            <w:r w:rsidRPr="002554E5">
              <w:rPr>
                <w:sz w:val="18"/>
                <w:szCs w:val="18"/>
                <w:lang w:val="de-DE"/>
              </w:rPr>
              <w:t xml:space="preserve"> gelten davon abwe</w:t>
            </w:r>
            <w:r w:rsidRPr="002554E5">
              <w:rPr>
                <w:sz w:val="18"/>
                <w:szCs w:val="18"/>
                <w:lang w:val="de-DE"/>
              </w:rPr>
              <w:t>i</w:t>
            </w:r>
            <w:r w:rsidRPr="002554E5">
              <w:rPr>
                <w:sz w:val="18"/>
                <w:szCs w:val="18"/>
                <w:lang w:val="de-DE"/>
              </w:rPr>
              <w:t>chende Anforderungen an die U</w:t>
            </w:r>
            <w:r w:rsidRPr="002554E5">
              <w:rPr>
                <w:sz w:val="18"/>
                <w:szCs w:val="18"/>
                <w:lang w:val="de-DE"/>
              </w:rPr>
              <w:t>n</w:t>
            </w:r>
            <w:r w:rsidRPr="002554E5">
              <w:rPr>
                <w:sz w:val="18"/>
                <w:szCs w:val="18"/>
                <w:lang w:val="de-DE"/>
              </w:rPr>
              <w:t xml:space="preserve">abhängigkeit (s. Abschnitt 3.1). </w:t>
            </w:r>
          </w:p>
          <w:p w:rsidR="001B4B58" w:rsidRPr="002554E5" w:rsidRDefault="001B4B58" w:rsidP="001B4B58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2554E5">
              <w:rPr>
                <w:color w:val="FF0000"/>
                <w:sz w:val="18"/>
                <w:szCs w:val="18"/>
                <w:u w:val="single"/>
                <w:lang w:val="de-DE"/>
              </w:rPr>
              <w:t>Hinweis: Bei der Akkreditierung von Laboratorien, die keine unabhängige Dritte im vorgenannten Sinne sind, können die Richtlinien 90/385/EWG, 93/42/EWG bzw. 98/79/EG nicht au</w:t>
            </w:r>
            <w:r w:rsidRPr="002554E5">
              <w:rPr>
                <w:color w:val="FF0000"/>
                <w:sz w:val="18"/>
                <w:szCs w:val="18"/>
                <w:u w:val="single"/>
                <w:lang w:val="de-DE"/>
              </w:rPr>
              <w:t>s</w:t>
            </w:r>
            <w:r w:rsidRPr="002554E5">
              <w:rPr>
                <w:color w:val="FF0000"/>
                <w:sz w:val="18"/>
                <w:szCs w:val="18"/>
                <w:u w:val="single"/>
                <w:lang w:val="de-DE"/>
              </w:rPr>
              <w:t>gewiesen werden.</w:t>
            </w:r>
          </w:p>
        </w:tc>
        <w:tc>
          <w:tcPr>
            <w:tcW w:w="3136" w:type="dxa"/>
          </w:tcPr>
          <w:p w:rsidR="001B4B58" w:rsidRPr="002554E5" w:rsidRDefault="001B4B58" w:rsidP="002554E5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407" w:type="dxa"/>
          </w:tcPr>
          <w:p w:rsidR="001B4B58" w:rsidRPr="004A40FA" w:rsidRDefault="001B4B58" w:rsidP="001B4642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</w:tr>
      <w:tr w:rsidR="009842BA" w:rsidRPr="002554E5" w:rsidTr="009842BA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9842BA" w:rsidRPr="00C84714" w:rsidRDefault="009842BA" w:rsidP="009842B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9842BA" w:rsidRPr="006A1464" w:rsidRDefault="009842BA" w:rsidP="009842B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9842BA" w:rsidRPr="00C84714" w:rsidRDefault="009842BA" w:rsidP="009842B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9842BA" w:rsidRPr="00C84714" w:rsidRDefault="009842BA" w:rsidP="009842BA">
            <w:pPr>
              <w:rPr>
                <w:sz w:val="12"/>
                <w:szCs w:val="12"/>
                <w:lang w:val="de-DE"/>
              </w:rPr>
            </w:pPr>
          </w:p>
        </w:tc>
      </w:tr>
      <w:tr w:rsidR="002554E5" w:rsidRPr="00031F3C" w:rsidTr="002554E5">
        <w:tc>
          <w:tcPr>
            <w:tcW w:w="799" w:type="dxa"/>
            <w:shd w:val="clear" w:color="auto" w:fill="D9D9D9" w:themeFill="background1" w:themeFillShade="D9"/>
          </w:tcPr>
          <w:p w:rsidR="002554E5" w:rsidRPr="004A40FA" w:rsidRDefault="002554E5" w:rsidP="002554E5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3.1</w:t>
            </w:r>
          </w:p>
        </w:tc>
        <w:tc>
          <w:tcPr>
            <w:tcW w:w="8489" w:type="dxa"/>
            <w:gridSpan w:val="3"/>
            <w:shd w:val="clear" w:color="auto" w:fill="D9D9D9" w:themeFill="background1" w:themeFillShade="D9"/>
          </w:tcPr>
          <w:p w:rsidR="002554E5" w:rsidRPr="004A40FA" w:rsidRDefault="002554E5" w:rsidP="002554E5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Unabhängigkeit, Unparteilichkeit und Vertraulichkeit</w:t>
            </w:r>
          </w:p>
        </w:tc>
      </w:tr>
      <w:tr w:rsidR="002554E5" w:rsidRPr="00031F3C" w:rsidTr="002554E5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2554E5" w:rsidRPr="00C84714" w:rsidRDefault="002554E5" w:rsidP="002554E5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2554E5" w:rsidRPr="00C84714" w:rsidRDefault="002554E5" w:rsidP="002554E5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2554E5" w:rsidRPr="00C84714" w:rsidRDefault="002554E5" w:rsidP="002554E5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2554E5" w:rsidRPr="00C84714" w:rsidRDefault="002554E5" w:rsidP="002554E5">
            <w:pPr>
              <w:rPr>
                <w:sz w:val="12"/>
                <w:szCs w:val="12"/>
                <w:lang w:val="de-DE"/>
              </w:rPr>
            </w:pPr>
          </w:p>
        </w:tc>
      </w:tr>
      <w:tr w:rsidR="001B4B58" w:rsidRPr="002554E5" w:rsidTr="001B4B58">
        <w:trPr>
          <w:trHeight w:val="1576"/>
        </w:trPr>
        <w:tc>
          <w:tcPr>
            <w:tcW w:w="799" w:type="dxa"/>
            <w:vMerge w:val="restart"/>
            <w:tcBorders>
              <w:left w:val="single" w:sz="4" w:space="0" w:color="auto"/>
            </w:tcBorders>
          </w:tcPr>
          <w:p w:rsidR="001B4B58" w:rsidRDefault="001B4B58" w:rsidP="00467C40">
            <w:pPr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3.1</w:t>
            </w:r>
          </w:p>
          <w:p w:rsidR="001B4B58" w:rsidRDefault="001B4B58" w:rsidP="002631D1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946" w:type="dxa"/>
          </w:tcPr>
          <w:p w:rsidR="001B4B58" w:rsidRPr="00467C40" w:rsidRDefault="001B4B58" w:rsidP="003C5448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467C40">
              <w:rPr>
                <w:sz w:val="18"/>
                <w:szCs w:val="18"/>
                <w:lang w:val="de-DE"/>
              </w:rPr>
              <w:t xml:space="preserve">Laboratorien – 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 xml:space="preserve">mit Ausnahme von Herstellerlaboratorien </w:t>
            </w:r>
            <w:r w:rsidRPr="00467C40">
              <w:rPr>
                <w:sz w:val="18"/>
                <w:szCs w:val="18"/>
                <w:lang w:val="de-DE"/>
              </w:rPr>
              <w:t>– haben die Anforderungen zur Unabhängigkeit, Unparteilichkeit und Vertraulichkeit gemäß den Anhängen der zutreffe</w:t>
            </w:r>
            <w:r w:rsidRPr="00467C40">
              <w:rPr>
                <w:sz w:val="18"/>
                <w:szCs w:val="18"/>
                <w:lang w:val="de-DE"/>
              </w:rPr>
              <w:t>n</w:t>
            </w:r>
            <w:r w:rsidRPr="00467C40">
              <w:rPr>
                <w:sz w:val="18"/>
                <w:szCs w:val="18"/>
                <w:lang w:val="de-DE"/>
              </w:rPr>
              <w:t>den Medizinprodukterichtlinien 93/42/EWG, 90/385/EWG und 98/79/EG – untersetzt durch ME</w:t>
            </w:r>
            <w:r w:rsidRPr="00467C40">
              <w:rPr>
                <w:sz w:val="18"/>
                <w:szCs w:val="18"/>
                <w:lang w:val="de-DE"/>
              </w:rPr>
              <w:t>D</w:t>
            </w:r>
            <w:r w:rsidRPr="00467C40">
              <w:rPr>
                <w:sz w:val="18"/>
                <w:szCs w:val="18"/>
                <w:lang w:val="de-DE"/>
              </w:rPr>
              <w:t>DEV 2.10/212 – zu erfüllen. Die Anforderu</w:t>
            </w:r>
            <w:r w:rsidRPr="00467C40">
              <w:rPr>
                <w:sz w:val="18"/>
                <w:szCs w:val="18"/>
                <w:lang w:val="de-DE"/>
              </w:rPr>
              <w:t>n</w:t>
            </w:r>
            <w:r w:rsidRPr="00467C40">
              <w:rPr>
                <w:sz w:val="18"/>
                <w:szCs w:val="18"/>
                <w:lang w:val="de-DE"/>
              </w:rPr>
              <w:t>gen erstrecken sich auf die gesellschaf</w:t>
            </w:r>
            <w:r w:rsidRPr="00467C40">
              <w:rPr>
                <w:sz w:val="18"/>
                <w:szCs w:val="18"/>
                <w:lang w:val="de-DE"/>
              </w:rPr>
              <w:t>t</w:t>
            </w:r>
            <w:r w:rsidRPr="00467C40">
              <w:rPr>
                <w:sz w:val="18"/>
                <w:szCs w:val="18"/>
                <w:lang w:val="de-DE"/>
              </w:rPr>
              <w:t>liche, personelle und finanzielle Una</w:t>
            </w:r>
            <w:r w:rsidRPr="00467C40">
              <w:rPr>
                <w:sz w:val="18"/>
                <w:szCs w:val="18"/>
                <w:lang w:val="de-DE"/>
              </w:rPr>
              <w:t>b</w:t>
            </w:r>
            <w:r w:rsidRPr="00467C40">
              <w:rPr>
                <w:sz w:val="18"/>
                <w:szCs w:val="18"/>
                <w:lang w:val="de-DE"/>
              </w:rPr>
              <w:t>hängigkeit.</w:t>
            </w:r>
          </w:p>
          <w:p w:rsidR="001B4B58" w:rsidRPr="00467C40" w:rsidRDefault="001B4B58" w:rsidP="003C5448">
            <w:pPr>
              <w:spacing w:before="60" w:after="60"/>
              <w:rPr>
                <w:lang w:val="de-DE"/>
              </w:rPr>
            </w:pPr>
          </w:p>
        </w:tc>
        <w:tc>
          <w:tcPr>
            <w:tcW w:w="3136" w:type="dxa"/>
            <w:vMerge w:val="restart"/>
          </w:tcPr>
          <w:p w:rsidR="001B4B58" w:rsidRPr="00467C40" w:rsidRDefault="001B4B58" w:rsidP="00467C40">
            <w:pPr>
              <w:spacing w:before="60" w:after="60"/>
              <w:rPr>
                <w:lang w:val="de-DE"/>
              </w:rPr>
            </w:pPr>
          </w:p>
        </w:tc>
        <w:tc>
          <w:tcPr>
            <w:tcW w:w="2407" w:type="dxa"/>
            <w:vMerge w:val="restart"/>
          </w:tcPr>
          <w:p w:rsidR="001B4B58" w:rsidRPr="004A40FA" w:rsidRDefault="001B4B58" w:rsidP="006A1464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</w:tr>
      <w:tr w:rsidR="001B4B58" w:rsidRPr="002554E5" w:rsidTr="001B4B58">
        <w:trPr>
          <w:trHeight w:val="1576"/>
        </w:trPr>
        <w:tc>
          <w:tcPr>
            <w:tcW w:w="799" w:type="dxa"/>
            <w:vMerge/>
            <w:tcBorders>
              <w:left w:val="single" w:sz="4" w:space="0" w:color="auto"/>
            </w:tcBorders>
          </w:tcPr>
          <w:p w:rsidR="001B4B58" w:rsidRDefault="001B4B58" w:rsidP="00467C40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946" w:type="dxa"/>
          </w:tcPr>
          <w:p w:rsidR="001B4B58" w:rsidRPr="00467C40" w:rsidRDefault="001B4B58" w:rsidP="00467C40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467C40">
              <w:rPr>
                <w:color w:val="FF0000"/>
                <w:sz w:val="18"/>
                <w:szCs w:val="18"/>
                <w:u w:val="single"/>
                <w:lang w:val="de-DE"/>
              </w:rPr>
              <w:t xml:space="preserve">Werden diese Anforderungen nicht erfüllt, ist eine Akkreditierung als unabhängiger Dritter 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Für Herstelle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r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labor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a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 xml:space="preserve">torien </w:t>
            </w:r>
            <w:r w:rsidRPr="00467C40">
              <w:rPr>
                <w:color w:val="FF0000"/>
                <w:sz w:val="18"/>
                <w:szCs w:val="18"/>
                <w:u w:val="single"/>
                <w:lang w:val="de-DE"/>
              </w:rPr>
              <w:t>im Sinne der Richtlinien 90/385/EWG, 93/42/EWG bzw. 98/79/EG nicht möglich; es</w:t>
            </w:r>
            <w:r w:rsidRPr="00467C40">
              <w:rPr>
                <w:sz w:val="18"/>
                <w:szCs w:val="18"/>
                <w:lang w:val="de-DE"/>
              </w:rPr>
              <w:t xml:space="preserve"> gelten die Anforderungen der DIN EN ISO/IEC 17025.</w:t>
            </w:r>
          </w:p>
        </w:tc>
        <w:tc>
          <w:tcPr>
            <w:tcW w:w="3136" w:type="dxa"/>
            <w:vMerge/>
          </w:tcPr>
          <w:p w:rsidR="001B4B58" w:rsidRPr="00467C40" w:rsidRDefault="001B4B58" w:rsidP="00467C40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407" w:type="dxa"/>
            <w:vMerge/>
          </w:tcPr>
          <w:p w:rsidR="001B4B58" w:rsidRPr="004A40FA" w:rsidRDefault="001B4B58" w:rsidP="006A1464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</w:tr>
      <w:tr w:rsidR="001B4B58" w:rsidRPr="002554E5" w:rsidTr="006C6DA3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1B4B58" w:rsidRPr="00C84714" w:rsidRDefault="001B4B58" w:rsidP="00C5513D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1B4B58" w:rsidRPr="006A1464" w:rsidRDefault="001B4B58" w:rsidP="00C5513D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1B4B58" w:rsidRPr="00C84714" w:rsidRDefault="001B4B58" w:rsidP="00C5513D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1B4B58" w:rsidRPr="00C84714" w:rsidRDefault="001B4B58" w:rsidP="00C5513D">
            <w:pPr>
              <w:rPr>
                <w:sz w:val="12"/>
                <w:szCs w:val="12"/>
                <w:lang w:val="de-DE"/>
              </w:rPr>
            </w:pPr>
          </w:p>
        </w:tc>
      </w:tr>
      <w:tr w:rsidR="00BA64C2" w:rsidRPr="00CD481F" w:rsidTr="006C6DA3">
        <w:tc>
          <w:tcPr>
            <w:tcW w:w="799" w:type="dxa"/>
            <w:shd w:val="clear" w:color="auto" w:fill="D9D9D9" w:themeFill="background1" w:themeFillShade="D9"/>
          </w:tcPr>
          <w:p w:rsidR="00BA64C2" w:rsidRPr="004A40FA" w:rsidRDefault="00467C40" w:rsidP="00BA64C2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6.5</w:t>
            </w:r>
          </w:p>
        </w:tc>
        <w:tc>
          <w:tcPr>
            <w:tcW w:w="8489" w:type="dxa"/>
            <w:gridSpan w:val="3"/>
            <w:shd w:val="clear" w:color="auto" w:fill="D9D9D9" w:themeFill="background1" w:themeFillShade="D9"/>
          </w:tcPr>
          <w:p w:rsidR="00BA64C2" w:rsidRPr="004A40FA" w:rsidRDefault="00BA64C2" w:rsidP="00467C40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P</w:t>
            </w:r>
            <w:r w:rsidR="00467C40">
              <w:rPr>
                <w:b/>
                <w:lang w:val="de-DE"/>
              </w:rPr>
              <w:t>ostanalytik</w:t>
            </w:r>
          </w:p>
        </w:tc>
      </w:tr>
      <w:tr w:rsidR="00AF60FB" w:rsidRPr="00CD481F" w:rsidTr="009842BA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AF60FB" w:rsidRPr="00C84714" w:rsidRDefault="00AF60FB" w:rsidP="00AF60FB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AF60FB" w:rsidRPr="00C84714" w:rsidRDefault="00AF60FB" w:rsidP="00AF60FB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AF60FB" w:rsidRPr="00C84714" w:rsidRDefault="00AF60FB" w:rsidP="00AF60FB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AF60FB" w:rsidRPr="00C84714" w:rsidRDefault="00AF60FB" w:rsidP="00AF60FB">
            <w:pPr>
              <w:rPr>
                <w:sz w:val="12"/>
                <w:szCs w:val="12"/>
                <w:lang w:val="de-DE"/>
              </w:rPr>
            </w:pPr>
          </w:p>
        </w:tc>
      </w:tr>
      <w:tr w:rsidR="001B4B58" w:rsidRPr="002554E5" w:rsidTr="001B4B58">
        <w:tc>
          <w:tcPr>
            <w:tcW w:w="799" w:type="dxa"/>
            <w:vMerge w:val="restart"/>
            <w:tcBorders>
              <w:left w:val="single" w:sz="4" w:space="0" w:color="auto"/>
            </w:tcBorders>
          </w:tcPr>
          <w:p w:rsidR="001B4B58" w:rsidRPr="004A40FA" w:rsidRDefault="001B4B58" w:rsidP="00BA64C2">
            <w:pPr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6.5</w:t>
            </w:r>
          </w:p>
        </w:tc>
        <w:tc>
          <w:tcPr>
            <w:tcW w:w="2946" w:type="dxa"/>
          </w:tcPr>
          <w:p w:rsidR="001B4B58" w:rsidRPr="00592DFA" w:rsidRDefault="001B4B58" w:rsidP="001B4B58">
            <w:pPr>
              <w:spacing w:before="60" w:after="60"/>
              <w:rPr>
                <w:color w:val="FF0000"/>
                <w:sz w:val="18"/>
                <w:szCs w:val="18"/>
                <w:lang w:val="de-DE"/>
              </w:rPr>
            </w:pPr>
            <w:r w:rsidRPr="00467C40">
              <w:rPr>
                <w:sz w:val="18"/>
                <w:szCs w:val="18"/>
                <w:lang w:val="de-DE"/>
              </w:rPr>
              <w:t>Die Ergebnisse der durchgeführten Prüfungen und Untersuchungen müssen in einem Prüfbericht darg</w:t>
            </w:r>
            <w:r w:rsidRPr="00467C40">
              <w:rPr>
                <w:sz w:val="18"/>
                <w:szCs w:val="18"/>
                <w:lang w:val="de-DE"/>
              </w:rPr>
              <w:t>e</w:t>
            </w:r>
            <w:r w:rsidRPr="00467C40">
              <w:rPr>
                <w:sz w:val="18"/>
                <w:szCs w:val="18"/>
                <w:lang w:val="de-DE"/>
              </w:rPr>
              <w:t>stellt werden, der den normativen Anford</w:t>
            </w:r>
            <w:r w:rsidRPr="00467C40">
              <w:rPr>
                <w:sz w:val="18"/>
                <w:szCs w:val="18"/>
                <w:lang w:val="de-DE"/>
              </w:rPr>
              <w:t>e</w:t>
            </w:r>
            <w:r w:rsidRPr="00467C40">
              <w:rPr>
                <w:sz w:val="18"/>
                <w:szCs w:val="18"/>
                <w:lang w:val="de-DE"/>
              </w:rPr>
              <w:t>rungen genügt.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1B4B58" w:rsidRPr="00592DFA" w:rsidRDefault="001B4B58" w:rsidP="00467C40">
            <w:pPr>
              <w:spacing w:before="60" w:after="60"/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1B4B58" w:rsidRPr="004A40FA" w:rsidRDefault="001B4B58" w:rsidP="00BF2492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</w:tr>
      <w:tr w:rsidR="00197D37" w:rsidRPr="001B4B58" w:rsidTr="009842BA">
        <w:tc>
          <w:tcPr>
            <w:tcW w:w="799" w:type="dxa"/>
            <w:vMerge/>
            <w:tcBorders>
              <w:left w:val="single" w:sz="4" w:space="0" w:color="auto"/>
            </w:tcBorders>
          </w:tcPr>
          <w:p w:rsidR="00197D37" w:rsidRDefault="00197D37" w:rsidP="00BA64C2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946" w:type="dxa"/>
          </w:tcPr>
          <w:p w:rsidR="00197D37" w:rsidRPr="00AF60FB" w:rsidRDefault="001B4B58" w:rsidP="00BA64C2">
            <w:pPr>
              <w:spacing w:before="60" w:after="60"/>
              <w:rPr>
                <w:sz w:val="18"/>
                <w:szCs w:val="18"/>
                <w:highlight w:val="yellow"/>
                <w:lang w:val="de-DE"/>
              </w:rPr>
            </w:pPr>
            <w:r w:rsidRPr="00467C40">
              <w:rPr>
                <w:sz w:val="18"/>
                <w:szCs w:val="18"/>
                <w:lang w:val="de-DE"/>
              </w:rPr>
              <w:t xml:space="preserve">Prüfberichte von </w:t>
            </w:r>
            <w:r w:rsidRPr="00467C40">
              <w:rPr>
                <w:color w:val="FF0000"/>
                <w:sz w:val="18"/>
                <w:szCs w:val="18"/>
                <w:u w:val="single"/>
                <w:lang w:val="de-DE"/>
              </w:rPr>
              <w:t>unabhängigen Dritten</w:t>
            </w:r>
            <w:r w:rsidRPr="00467C40">
              <w:rPr>
                <w:sz w:val="18"/>
                <w:szCs w:val="18"/>
                <w:lang w:val="de-DE"/>
              </w:rPr>
              <w:t xml:space="preserve"> 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Herstellerlaboratorien mü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s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sen</w:t>
            </w:r>
            <w:r w:rsidRPr="00467C40">
              <w:rPr>
                <w:sz w:val="18"/>
                <w:szCs w:val="18"/>
                <w:lang w:val="de-DE"/>
              </w:rPr>
              <w:t xml:space="preserve"> </w:t>
            </w:r>
            <w:r w:rsidRPr="00467C40">
              <w:rPr>
                <w:color w:val="FF0000"/>
                <w:sz w:val="18"/>
                <w:szCs w:val="18"/>
                <w:u w:val="single"/>
                <w:lang w:val="de-DE"/>
              </w:rPr>
              <w:t>können</w:t>
            </w:r>
            <w:r w:rsidRPr="00467C40">
              <w:rPr>
                <w:sz w:val="18"/>
                <w:szCs w:val="18"/>
                <w:lang w:val="de-DE"/>
              </w:rPr>
              <w:t xml:space="preserve"> mit einem Zusatz g</w:t>
            </w:r>
            <w:r w:rsidRPr="00467C40">
              <w:rPr>
                <w:sz w:val="18"/>
                <w:szCs w:val="18"/>
                <w:lang w:val="de-DE"/>
              </w:rPr>
              <w:t>e</w:t>
            </w:r>
            <w:r w:rsidRPr="00467C40">
              <w:rPr>
                <w:sz w:val="18"/>
                <w:szCs w:val="18"/>
                <w:lang w:val="de-DE"/>
              </w:rPr>
              <w:t>kennzeichnet we</w:t>
            </w:r>
            <w:r w:rsidRPr="00467C40">
              <w:rPr>
                <w:sz w:val="18"/>
                <w:szCs w:val="18"/>
                <w:lang w:val="de-DE"/>
              </w:rPr>
              <w:t>r</w:t>
            </w:r>
            <w:r w:rsidRPr="00467C40">
              <w:rPr>
                <w:sz w:val="18"/>
                <w:szCs w:val="18"/>
                <w:lang w:val="de-DE"/>
              </w:rPr>
              <w:t xml:space="preserve">den, dass das Laboratorium </w:t>
            </w:r>
            <w:r w:rsidRPr="00467C40">
              <w:rPr>
                <w:strike/>
                <w:color w:val="FF0000"/>
                <w:sz w:val="18"/>
                <w:szCs w:val="18"/>
                <w:lang w:val="de-DE"/>
              </w:rPr>
              <w:t>kein</w:t>
            </w:r>
            <w:r w:rsidRPr="00467C40">
              <w:rPr>
                <w:sz w:val="18"/>
                <w:szCs w:val="18"/>
                <w:lang w:val="de-DE"/>
              </w:rPr>
              <w:t xml:space="preserve"> una</w:t>
            </w:r>
            <w:r w:rsidRPr="00467C40">
              <w:rPr>
                <w:sz w:val="18"/>
                <w:szCs w:val="18"/>
                <w:lang w:val="de-DE"/>
              </w:rPr>
              <w:t>b</w:t>
            </w:r>
            <w:r w:rsidRPr="00467C40">
              <w:rPr>
                <w:sz w:val="18"/>
                <w:szCs w:val="18"/>
                <w:lang w:val="de-DE"/>
              </w:rPr>
              <w:t>hängiger Dritter im Sinne der EG-Richtlinien über Medizinprodukte ist (vgl. A</w:t>
            </w:r>
            <w:r w:rsidRPr="00467C40">
              <w:rPr>
                <w:sz w:val="18"/>
                <w:szCs w:val="18"/>
                <w:lang w:val="de-DE"/>
              </w:rPr>
              <w:t>b</w:t>
            </w:r>
            <w:r w:rsidRPr="00467C40">
              <w:rPr>
                <w:sz w:val="18"/>
                <w:szCs w:val="18"/>
                <w:lang w:val="de-DE"/>
              </w:rPr>
              <w:t>schnitt 3.1).</w:t>
            </w:r>
          </w:p>
        </w:tc>
        <w:tc>
          <w:tcPr>
            <w:tcW w:w="3136" w:type="dxa"/>
          </w:tcPr>
          <w:p w:rsidR="00197D37" w:rsidRDefault="00197D37" w:rsidP="00EB49FD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407" w:type="dxa"/>
          </w:tcPr>
          <w:p w:rsidR="00197D37" w:rsidRDefault="00197D37" w:rsidP="00592DFA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</w:tr>
      <w:tr w:rsidR="00467C40" w:rsidRPr="001B4B58" w:rsidTr="003C5448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</w:tr>
      <w:tr w:rsidR="00467C40" w:rsidRPr="00CD481F" w:rsidTr="003C5448">
        <w:tc>
          <w:tcPr>
            <w:tcW w:w="799" w:type="dxa"/>
            <w:shd w:val="clear" w:color="auto" w:fill="D9D9D9" w:themeFill="background1" w:themeFillShade="D9"/>
          </w:tcPr>
          <w:p w:rsidR="00467C40" w:rsidRPr="004A40FA" w:rsidRDefault="00467C40" w:rsidP="003C5448">
            <w:pPr>
              <w:spacing w:before="60" w:after="60"/>
              <w:rPr>
                <w:b/>
                <w:lang w:val="de-DE"/>
              </w:rPr>
            </w:pPr>
          </w:p>
        </w:tc>
        <w:tc>
          <w:tcPr>
            <w:tcW w:w="8489" w:type="dxa"/>
            <w:gridSpan w:val="3"/>
            <w:shd w:val="clear" w:color="auto" w:fill="D9D9D9" w:themeFill="background1" w:themeFillShade="D9"/>
          </w:tcPr>
          <w:p w:rsidR="00467C40" w:rsidRPr="004A40FA" w:rsidRDefault="00467C40" w:rsidP="003C5448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Weitere Fragen</w:t>
            </w:r>
          </w:p>
        </w:tc>
      </w:tr>
      <w:tr w:rsidR="00467C40" w:rsidRPr="00CD481F" w:rsidTr="003C5448"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:rsidR="00467C40" w:rsidRPr="00C84714" w:rsidRDefault="00467C40" w:rsidP="003C5448">
            <w:pPr>
              <w:rPr>
                <w:sz w:val="12"/>
                <w:szCs w:val="12"/>
                <w:lang w:val="de-DE"/>
              </w:rPr>
            </w:pPr>
          </w:p>
        </w:tc>
      </w:tr>
      <w:tr w:rsidR="001B4B58" w:rsidRPr="002554E5" w:rsidTr="001B4B58">
        <w:tc>
          <w:tcPr>
            <w:tcW w:w="799" w:type="dxa"/>
            <w:tcBorders>
              <w:left w:val="single" w:sz="4" w:space="0" w:color="auto"/>
            </w:tcBorders>
          </w:tcPr>
          <w:p w:rsidR="001B4B58" w:rsidRPr="004A40FA" w:rsidRDefault="001B4B58" w:rsidP="003C5448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1B4B58" w:rsidRPr="006A1464" w:rsidRDefault="001B4B58" w:rsidP="003C5448">
            <w:pPr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3136" w:type="dxa"/>
            <w:shd w:val="clear" w:color="auto" w:fill="D9D9D9" w:themeFill="background1" w:themeFillShade="D9"/>
          </w:tcPr>
          <w:p w:rsidR="001B4B58" w:rsidRPr="00592DFA" w:rsidRDefault="001B4B58" w:rsidP="006B6877">
            <w:pPr>
              <w:spacing w:before="60" w:after="60"/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1B4B58" w:rsidRPr="001B4B58" w:rsidRDefault="001B4B58" w:rsidP="003C5448">
            <w:pPr>
              <w:spacing w:before="60" w:after="60"/>
              <w:rPr>
                <w:b/>
                <w:sz w:val="18"/>
                <w:szCs w:val="18"/>
                <w:u w:val="single"/>
                <w:lang w:val="de-DE"/>
              </w:rPr>
            </w:pPr>
            <w:r w:rsidRPr="001B4B58">
              <w:rPr>
                <w:b/>
                <w:sz w:val="18"/>
                <w:szCs w:val="18"/>
                <w:u w:val="single"/>
                <w:lang w:val="de-DE"/>
              </w:rPr>
              <w:t>Weitere Fragen aus Sicht des AKB FB 3:</w:t>
            </w:r>
          </w:p>
          <w:p w:rsidR="001B4B58" w:rsidRPr="006B6877" w:rsidRDefault="001B4B58" w:rsidP="003C5448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6B6877">
              <w:rPr>
                <w:sz w:val="18"/>
                <w:szCs w:val="18"/>
                <w:lang w:val="de-DE"/>
              </w:rPr>
              <w:t>Unterscheidungsmerkmal in den Besche</w:t>
            </w:r>
            <w:r w:rsidRPr="006B6877">
              <w:rPr>
                <w:sz w:val="18"/>
                <w:szCs w:val="18"/>
                <w:lang w:val="de-DE"/>
              </w:rPr>
              <w:t>i</w:t>
            </w:r>
            <w:r w:rsidRPr="006B6877">
              <w:rPr>
                <w:sz w:val="18"/>
                <w:szCs w:val="18"/>
                <w:lang w:val="de-DE"/>
              </w:rPr>
              <w:t>den/Urkunden/Anlagen</w:t>
            </w:r>
          </w:p>
          <w:p w:rsidR="001B4B58" w:rsidRPr="006B6877" w:rsidRDefault="001B4B58" w:rsidP="003C5448">
            <w:pPr>
              <w:spacing w:before="60" w:after="60"/>
              <w:rPr>
                <w:sz w:val="18"/>
                <w:szCs w:val="18"/>
                <w:lang w:val="de-DE"/>
              </w:rPr>
            </w:pPr>
            <w:r w:rsidRPr="006B6877">
              <w:rPr>
                <w:sz w:val="18"/>
                <w:szCs w:val="18"/>
                <w:lang w:val="de-DE"/>
              </w:rPr>
              <w:t>Bislang wird die Eigenschaft „Herste</w:t>
            </w:r>
            <w:r w:rsidRPr="006B6877">
              <w:rPr>
                <w:sz w:val="18"/>
                <w:szCs w:val="18"/>
                <w:lang w:val="de-DE"/>
              </w:rPr>
              <w:t>l</w:t>
            </w:r>
            <w:r w:rsidRPr="006B6877">
              <w:rPr>
                <w:sz w:val="18"/>
                <w:szCs w:val="18"/>
                <w:lang w:val="de-DE"/>
              </w:rPr>
              <w:t>lerlabor“ auf den Urkunden/Anlagen ausgewi</w:t>
            </w:r>
            <w:r w:rsidRPr="006B6877">
              <w:rPr>
                <w:sz w:val="18"/>
                <w:szCs w:val="18"/>
                <w:lang w:val="de-DE"/>
              </w:rPr>
              <w:t>e</w:t>
            </w:r>
            <w:r w:rsidRPr="006B6877">
              <w:rPr>
                <w:sz w:val="18"/>
                <w:szCs w:val="18"/>
                <w:lang w:val="de-DE"/>
              </w:rPr>
              <w:t>sen (Bereich „Medizinprodu</w:t>
            </w:r>
            <w:r w:rsidRPr="006B6877">
              <w:rPr>
                <w:sz w:val="18"/>
                <w:szCs w:val="18"/>
                <w:lang w:val="de-DE"/>
              </w:rPr>
              <w:t>k</w:t>
            </w:r>
            <w:r w:rsidRPr="006B6877">
              <w:rPr>
                <w:sz w:val="18"/>
                <w:szCs w:val="18"/>
                <w:lang w:val="de-DE"/>
              </w:rPr>
              <w:t>te als Herstellerprüflaborator</w:t>
            </w:r>
            <w:r w:rsidRPr="006B6877">
              <w:rPr>
                <w:sz w:val="18"/>
                <w:szCs w:val="18"/>
                <w:lang w:val="de-DE"/>
              </w:rPr>
              <w:t>i</w:t>
            </w:r>
            <w:r w:rsidRPr="006B6877">
              <w:rPr>
                <w:sz w:val="18"/>
                <w:szCs w:val="18"/>
                <w:lang w:val="de-DE"/>
              </w:rPr>
              <w:t>um“). Diese Unterscheidba</w:t>
            </w:r>
            <w:r w:rsidRPr="006B6877">
              <w:rPr>
                <w:sz w:val="18"/>
                <w:szCs w:val="18"/>
                <w:lang w:val="de-DE"/>
              </w:rPr>
              <w:t>r</w:t>
            </w:r>
            <w:r w:rsidRPr="006B6877">
              <w:rPr>
                <w:sz w:val="18"/>
                <w:szCs w:val="18"/>
                <w:lang w:val="de-DE"/>
              </w:rPr>
              <w:t>keit ist auch zukünftig anz</w:t>
            </w:r>
            <w:r w:rsidRPr="006B6877">
              <w:rPr>
                <w:sz w:val="18"/>
                <w:szCs w:val="18"/>
                <w:lang w:val="de-DE"/>
              </w:rPr>
              <w:t>u</w:t>
            </w:r>
            <w:r w:rsidRPr="006B6877">
              <w:rPr>
                <w:sz w:val="18"/>
                <w:szCs w:val="18"/>
                <w:lang w:val="de-DE"/>
              </w:rPr>
              <w:t>streben, weshalb auf den Urkunden/Anlagen deutlich gemacht werden sollte, dass das Laboratorium als unabhä</w:t>
            </w:r>
            <w:r w:rsidRPr="006B6877">
              <w:rPr>
                <w:sz w:val="18"/>
                <w:szCs w:val="18"/>
                <w:lang w:val="de-DE"/>
              </w:rPr>
              <w:t>n</w:t>
            </w:r>
            <w:r w:rsidRPr="006B6877">
              <w:rPr>
                <w:sz w:val="18"/>
                <w:szCs w:val="18"/>
                <w:lang w:val="de-DE"/>
              </w:rPr>
              <w:t>giger Dritter akkreditiert ist. Formulierung ist noch abz</w:t>
            </w:r>
            <w:r w:rsidRPr="006B6877">
              <w:rPr>
                <w:sz w:val="18"/>
                <w:szCs w:val="18"/>
                <w:lang w:val="de-DE"/>
              </w:rPr>
              <w:t>u</w:t>
            </w:r>
            <w:r w:rsidRPr="006B6877">
              <w:rPr>
                <w:sz w:val="18"/>
                <w:szCs w:val="18"/>
                <w:lang w:val="de-DE"/>
              </w:rPr>
              <w:t>stimmen.</w:t>
            </w:r>
          </w:p>
          <w:p w:rsidR="001B4B58" w:rsidRPr="00592DFA" w:rsidRDefault="001B4B58" w:rsidP="003C5448">
            <w:pPr>
              <w:spacing w:before="60" w:after="60"/>
              <w:rPr>
                <w:color w:val="FF0000"/>
                <w:sz w:val="18"/>
                <w:szCs w:val="18"/>
                <w:lang w:val="de-DE"/>
              </w:rPr>
            </w:pPr>
            <w:r w:rsidRPr="006B6877">
              <w:rPr>
                <w:sz w:val="18"/>
                <w:szCs w:val="18"/>
                <w:lang w:val="de-DE"/>
              </w:rPr>
              <w:t>Um interessierten Kunden auch die Möglichkeit zu geben, einfach prüfen und recherchi</w:t>
            </w:r>
            <w:r w:rsidRPr="006B6877">
              <w:rPr>
                <w:sz w:val="18"/>
                <w:szCs w:val="18"/>
                <w:lang w:val="de-DE"/>
              </w:rPr>
              <w:t>e</w:t>
            </w:r>
            <w:r w:rsidRPr="006B6877">
              <w:rPr>
                <w:sz w:val="18"/>
                <w:szCs w:val="18"/>
                <w:lang w:val="de-DE"/>
              </w:rPr>
              <w:t>ren zu können, ob ein Labor</w:t>
            </w:r>
            <w:r w:rsidRPr="006B6877">
              <w:rPr>
                <w:sz w:val="18"/>
                <w:szCs w:val="18"/>
                <w:lang w:val="de-DE"/>
              </w:rPr>
              <w:t>a</w:t>
            </w:r>
            <w:r w:rsidRPr="006B6877">
              <w:rPr>
                <w:sz w:val="18"/>
                <w:szCs w:val="18"/>
                <w:lang w:val="de-DE"/>
              </w:rPr>
              <w:t>torium unabhängiger Dritter im Sinne der Medizinprodukt</w:t>
            </w:r>
            <w:r w:rsidRPr="006B6877">
              <w:rPr>
                <w:sz w:val="18"/>
                <w:szCs w:val="18"/>
                <w:lang w:val="de-DE"/>
              </w:rPr>
              <w:t>e</w:t>
            </w:r>
            <w:r w:rsidRPr="006B6877">
              <w:rPr>
                <w:sz w:val="18"/>
                <w:szCs w:val="18"/>
                <w:lang w:val="de-DE"/>
              </w:rPr>
              <w:t xml:space="preserve">richtlinien ist, böte es sich an, die Website der </w:t>
            </w:r>
            <w:proofErr w:type="spellStart"/>
            <w:r w:rsidRPr="006B6877">
              <w:rPr>
                <w:sz w:val="18"/>
                <w:szCs w:val="18"/>
                <w:lang w:val="de-DE"/>
              </w:rPr>
              <w:t>DAkkS</w:t>
            </w:r>
            <w:proofErr w:type="spellEnd"/>
            <w:r w:rsidRPr="006B6877">
              <w:rPr>
                <w:sz w:val="18"/>
                <w:szCs w:val="18"/>
                <w:lang w:val="de-DE"/>
              </w:rPr>
              <w:t xml:space="preserve"> mit den akkreditierten Stellen danach </w:t>
            </w:r>
            <w:proofErr w:type="spellStart"/>
            <w:r w:rsidRPr="006B6877">
              <w:rPr>
                <w:sz w:val="18"/>
                <w:szCs w:val="18"/>
                <w:lang w:val="de-DE"/>
              </w:rPr>
              <w:t>suchbar</w:t>
            </w:r>
            <w:proofErr w:type="spellEnd"/>
            <w:r w:rsidRPr="006B6877">
              <w:rPr>
                <w:sz w:val="18"/>
                <w:szCs w:val="18"/>
                <w:lang w:val="de-DE"/>
              </w:rPr>
              <w:t xml:space="preserve"> zu gestalten, d.h. eine separate Ausweisung dieser Laborat</w:t>
            </w:r>
            <w:r w:rsidRPr="006B6877">
              <w:rPr>
                <w:sz w:val="18"/>
                <w:szCs w:val="18"/>
                <w:lang w:val="de-DE"/>
              </w:rPr>
              <w:t>o</w:t>
            </w:r>
            <w:r w:rsidRPr="006B6877">
              <w:rPr>
                <w:sz w:val="18"/>
                <w:szCs w:val="18"/>
                <w:lang w:val="de-DE"/>
              </w:rPr>
              <w:t>rien vorzunehmen.</w:t>
            </w:r>
          </w:p>
        </w:tc>
      </w:tr>
    </w:tbl>
    <w:p w:rsidR="009C3EC0" w:rsidRPr="00FC136B" w:rsidRDefault="00467C40" w:rsidP="00197D37">
      <w:pPr>
        <w:tabs>
          <w:tab w:val="left" w:pos="-284"/>
          <w:tab w:val="left" w:pos="1701"/>
          <w:tab w:val="left" w:pos="4962"/>
          <w:tab w:val="left" w:pos="6521"/>
        </w:tabs>
        <w:spacing w:before="120" w:after="0"/>
        <w:ind w:left="-567" w:right="-567"/>
        <w:rPr>
          <w:rFonts w:asciiTheme="majorHAnsi" w:hAnsiTheme="majorHAnsi"/>
          <w:sz w:val="16"/>
          <w:szCs w:val="16"/>
          <w:lang w:val="de-DE"/>
        </w:rPr>
      </w:pPr>
      <w:r w:rsidRPr="00467C40">
        <w:rPr>
          <w:rFonts w:asciiTheme="majorHAnsi" w:hAnsiTheme="majorHAnsi"/>
          <w:sz w:val="16"/>
          <w:szCs w:val="16"/>
          <w:lang w:val="de-DE"/>
        </w:rPr>
        <w:t>7 Herstellerlaboratorien sind Laboratorien, die keine unabhängige Dritte im Sinne der Richtlinien 90/385/EWG, 93/42/EWG bzw. 98/79/EG sind</w:t>
      </w:r>
    </w:p>
    <w:sectPr w:rsidR="009C3EC0" w:rsidRPr="00FC136B" w:rsidSect="003C346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5" w:rsidRDefault="002554E5" w:rsidP="00D474FB">
      <w:pPr>
        <w:spacing w:after="0"/>
      </w:pPr>
      <w:r>
        <w:separator/>
      </w:r>
    </w:p>
  </w:endnote>
  <w:endnote w:type="continuationSeparator" w:id="0">
    <w:p w:rsidR="002554E5" w:rsidRDefault="002554E5" w:rsidP="00D47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E5" w:rsidRPr="00D474FB" w:rsidRDefault="002554E5" w:rsidP="00C43B14">
    <w:pPr>
      <w:pStyle w:val="Fuzeile"/>
      <w:rPr>
        <w:color w:val="808080" w:themeColor="background1" w:themeShade="80"/>
        <w:sz w:val="16"/>
        <w:szCs w:val="16"/>
        <w:lang w:val="de-DE"/>
      </w:rPr>
    </w:pPr>
    <w:r w:rsidRPr="00D474FB">
      <w:rPr>
        <w:color w:val="808080" w:themeColor="background1" w:themeShade="80"/>
        <w:sz w:val="16"/>
        <w:szCs w:val="16"/>
        <w:lang w:val="de-DE"/>
      </w:rPr>
      <w:t>Deutscher Verband Unabhängiger Prüflaboratorien (VUP)</w:t>
    </w:r>
    <w:r>
      <w:rPr>
        <w:color w:val="808080" w:themeColor="background1" w:themeShade="80"/>
        <w:sz w:val="16"/>
        <w:szCs w:val="16"/>
        <w:lang w:val="de-DE"/>
      </w:rPr>
      <w:tab/>
    </w:r>
    <w:r w:rsidRPr="00D474FB">
      <w:rPr>
        <w:color w:val="808080" w:themeColor="background1" w:themeShade="80"/>
        <w:sz w:val="16"/>
        <w:szCs w:val="16"/>
        <w:lang w:val="de-DE"/>
      </w:rPr>
      <w:tab/>
    </w:r>
    <w:r w:rsidR="006B6877">
      <w:rPr>
        <w:color w:val="808080" w:themeColor="background1" w:themeShade="80"/>
        <w:sz w:val="16"/>
        <w:szCs w:val="16"/>
        <w:lang w:val="de-DE"/>
      </w:rPr>
      <w:t>xx.xx</w:t>
    </w:r>
    <w:r>
      <w:rPr>
        <w:color w:val="808080" w:themeColor="background1" w:themeShade="80"/>
        <w:sz w:val="16"/>
        <w:szCs w:val="16"/>
        <w:lang w:val="de-DE"/>
      </w:rPr>
      <w:t>.2014</w:t>
    </w:r>
    <w:r w:rsidRPr="00D474FB">
      <w:rPr>
        <w:color w:val="808080" w:themeColor="background1" w:themeShade="80"/>
        <w:sz w:val="16"/>
        <w:szCs w:val="16"/>
        <w:lang w:val="de-DE"/>
      </w:rPr>
      <w:br/>
    </w:r>
    <w:r w:rsidR="006B6877">
      <w:rPr>
        <w:color w:val="808080" w:themeColor="background1" w:themeShade="80"/>
        <w:sz w:val="16"/>
        <w:szCs w:val="16"/>
        <w:lang w:val="de-DE"/>
      </w:rPr>
      <w:t>Kommentarblatt zum Änderungsvorschlag 71 SD 3 017</w:t>
    </w:r>
    <w:r w:rsidRPr="00D474FB">
      <w:rPr>
        <w:color w:val="808080" w:themeColor="background1" w:themeShade="80"/>
        <w:sz w:val="16"/>
        <w:szCs w:val="16"/>
        <w:lang w:val="de-DE"/>
      </w:rPr>
      <w:tab/>
      <w:t xml:space="preserve">Seite </w:t>
    </w:r>
    <w:r w:rsidRPr="00D474FB">
      <w:rPr>
        <w:color w:val="808080" w:themeColor="background1" w:themeShade="80"/>
        <w:sz w:val="16"/>
        <w:szCs w:val="16"/>
        <w:lang w:val="de-DE"/>
      </w:rPr>
      <w:fldChar w:fldCharType="begin"/>
    </w:r>
    <w:r w:rsidRPr="00D474FB">
      <w:rPr>
        <w:color w:val="808080" w:themeColor="background1" w:themeShade="80"/>
        <w:sz w:val="16"/>
        <w:szCs w:val="16"/>
        <w:lang w:val="de-DE"/>
      </w:rPr>
      <w:instrText xml:space="preserve"> PAGE   \* MERGEFORMAT </w:instrText>
    </w:r>
    <w:r w:rsidRPr="00D474FB">
      <w:rPr>
        <w:color w:val="808080" w:themeColor="background1" w:themeShade="80"/>
        <w:sz w:val="16"/>
        <w:szCs w:val="16"/>
        <w:lang w:val="de-DE"/>
      </w:rPr>
      <w:fldChar w:fldCharType="separate"/>
    </w:r>
    <w:r w:rsidR="001B4B58">
      <w:rPr>
        <w:noProof/>
        <w:color w:val="808080" w:themeColor="background1" w:themeShade="80"/>
        <w:sz w:val="16"/>
        <w:szCs w:val="16"/>
        <w:lang w:val="de-DE"/>
      </w:rPr>
      <w:t>1</w:t>
    </w:r>
    <w:r w:rsidRPr="00D474FB">
      <w:rPr>
        <w:color w:val="808080" w:themeColor="background1" w:themeShade="80"/>
        <w:sz w:val="16"/>
        <w:szCs w:val="16"/>
        <w:lang w:val="de-DE"/>
      </w:rPr>
      <w:fldChar w:fldCharType="end"/>
    </w:r>
    <w:r w:rsidRPr="00D474FB">
      <w:rPr>
        <w:color w:val="808080" w:themeColor="background1" w:themeShade="80"/>
        <w:sz w:val="16"/>
        <w:szCs w:val="16"/>
        <w:lang w:val="de-DE"/>
      </w:rPr>
      <w:t xml:space="preserve"> (</w:t>
    </w:r>
    <w:r>
      <w:fldChar w:fldCharType="begin"/>
    </w:r>
    <w:r w:rsidRPr="002554E5">
      <w:rPr>
        <w:lang w:val="de-DE"/>
      </w:rPr>
      <w:instrText xml:space="preserve"> NUMPAGES   \* MERGEFORMAT </w:instrText>
    </w:r>
    <w:r>
      <w:fldChar w:fldCharType="separate"/>
    </w:r>
    <w:r w:rsidR="001B4B58" w:rsidRPr="001B4B58">
      <w:rPr>
        <w:noProof/>
        <w:color w:val="808080" w:themeColor="background1" w:themeShade="80"/>
        <w:sz w:val="16"/>
        <w:szCs w:val="16"/>
        <w:lang w:val="de-DE"/>
      </w:rPr>
      <w:t>2</w:t>
    </w:r>
    <w:r>
      <w:rPr>
        <w:noProof/>
        <w:color w:val="808080" w:themeColor="background1" w:themeShade="80"/>
        <w:sz w:val="16"/>
        <w:szCs w:val="16"/>
        <w:lang w:val="de-DE"/>
      </w:rPr>
      <w:fldChar w:fldCharType="end"/>
    </w:r>
    <w:r w:rsidRPr="00D474FB">
      <w:rPr>
        <w:color w:val="808080" w:themeColor="background1" w:themeShade="80"/>
        <w:sz w:val="16"/>
        <w:szCs w:val="16"/>
        <w:lang w:val="de-D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5" w:rsidRDefault="002554E5" w:rsidP="00D474FB">
      <w:pPr>
        <w:spacing w:after="0"/>
      </w:pPr>
      <w:r>
        <w:separator/>
      </w:r>
    </w:p>
  </w:footnote>
  <w:footnote w:type="continuationSeparator" w:id="0">
    <w:p w:rsidR="002554E5" w:rsidRDefault="002554E5" w:rsidP="00D47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E5" w:rsidRDefault="002554E5">
    <w:pPr>
      <w:pStyle w:val="Kopfzeile"/>
    </w:pPr>
    <w:r>
      <w:rPr>
        <w:noProof/>
        <w:lang w:val="de-DE"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6569" o:spid="_x0000_s2050" type="#_x0000_t75" style="position:absolute;margin-left:0;margin-top:0;width:453.45pt;height:153.9pt;z-index:-251657216;mso-position-horizontal:center;mso-position-horizontal-relative:margin;mso-position-vertical:center;mso-position-vertical-relative:margin" o:allowincell="f">
          <v:imagedata r:id="rId1" o:title="VUP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E5" w:rsidRDefault="002554E5">
    <w:pPr>
      <w:pStyle w:val="Kopfzeile"/>
    </w:pPr>
    <w:r>
      <w:rPr>
        <w:noProof/>
        <w:lang w:val="de-DE"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6570" o:spid="_x0000_s2051" type="#_x0000_t75" style="position:absolute;margin-left:0;margin-top:0;width:453.45pt;height:153.9pt;z-index:-251656192;mso-position-horizontal:center;mso-position-horizontal-relative:margin;mso-position-vertical:center;mso-position-vertical-relative:margin" o:allowincell="f">
          <v:imagedata r:id="rId1" o:title="VUP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E5" w:rsidRDefault="002554E5">
    <w:pPr>
      <w:pStyle w:val="Kopfzeile"/>
    </w:pPr>
    <w:r>
      <w:rPr>
        <w:noProof/>
        <w:lang w:val="de-DE"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6568" o:spid="_x0000_s2049" type="#_x0000_t75" style="position:absolute;margin-left:0;margin-top:0;width:453.45pt;height:153.9pt;z-index:-251658240;mso-position-horizontal:center;mso-position-horizontal-relative:margin;mso-position-vertical:center;mso-position-vertical-relative:margin" o:allowincell="f">
          <v:imagedata r:id="rId1" o:title="VUP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481"/>
    <w:multiLevelType w:val="hybridMultilevel"/>
    <w:tmpl w:val="E48C4B56"/>
    <w:lvl w:ilvl="0" w:tplc="B3FC390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75E15"/>
    <w:multiLevelType w:val="hybridMultilevel"/>
    <w:tmpl w:val="808E3028"/>
    <w:lvl w:ilvl="0" w:tplc="5010FB9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0B69"/>
    <w:multiLevelType w:val="hybridMultilevel"/>
    <w:tmpl w:val="E4F08F46"/>
    <w:lvl w:ilvl="0" w:tplc="A932979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714A"/>
    <w:multiLevelType w:val="hybridMultilevel"/>
    <w:tmpl w:val="F0802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250C"/>
    <w:multiLevelType w:val="hybridMultilevel"/>
    <w:tmpl w:val="0F940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C62D9"/>
    <w:multiLevelType w:val="hybridMultilevel"/>
    <w:tmpl w:val="CF324790"/>
    <w:lvl w:ilvl="0" w:tplc="220C9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369"/>
    <w:multiLevelType w:val="hybridMultilevel"/>
    <w:tmpl w:val="E4F08F46"/>
    <w:lvl w:ilvl="0" w:tplc="A932979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A11"/>
    <w:rsid w:val="00022C90"/>
    <w:rsid w:val="00026500"/>
    <w:rsid w:val="00031F3C"/>
    <w:rsid w:val="00040613"/>
    <w:rsid w:val="00047582"/>
    <w:rsid w:val="00054410"/>
    <w:rsid w:val="00054681"/>
    <w:rsid w:val="0006730D"/>
    <w:rsid w:val="0006736C"/>
    <w:rsid w:val="0009427E"/>
    <w:rsid w:val="000D0BE0"/>
    <w:rsid w:val="001000BF"/>
    <w:rsid w:val="00110EAA"/>
    <w:rsid w:val="001167EF"/>
    <w:rsid w:val="00197D37"/>
    <w:rsid w:val="001A6CA8"/>
    <w:rsid w:val="001B4642"/>
    <w:rsid w:val="001B4B58"/>
    <w:rsid w:val="001D5867"/>
    <w:rsid w:val="00212698"/>
    <w:rsid w:val="002413D7"/>
    <w:rsid w:val="002554E5"/>
    <w:rsid w:val="002631D1"/>
    <w:rsid w:val="002B5FB4"/>
    <w:rsid w:val="003124C0"/>
    <w:rsid w:val="00391D42"/>
    <w:rsid w:val="003A09B9"/>
    <w:rsid w:val="003C346C"/>
    <w:rsid w:val="003F38E6"/>
    <w:rsid w:val="00436468"/>
    <w:rsid w:val="00457DDB"/>
    <w:rsid w:val="00467C40"/>
    <w:rsid w:val="004A40FA"/>
    <w:rsid w:val="004B20F2"/>
    <w:rsid w:val="004E5996"/>
    <w:rsid w:val="00504A2D"/>
    <w:rsid w:val="00542A11"/>
    <w:rsid w:val="00547BE4"/>
    <w:rsid w:val="00592DFA"/>
    <w:rsid w:val="005A2CFB"/>
    <w:rsid w:val="005F090D"/>
    <w:rsid w:val="006026DD"/>
    <w:rsid w:val="00664BE8"/>
    <w:rsid w:val="006706BA"/>
    <w:rsid w:val="006A1464"/>
    <w:rsid w:val="006B6877"/>
    <w:rsid w:val="006C4A0A"/>
    <w:rsid w:val="006C6DA3"/>
    <w:rsid w:val="006D1A1A"/>
    <w:rsid w:val="006E1475"/>
    <w:rsid w:val="00722F94"/>
    <w:rsid w:val="007543E7"/>
    <w:rsid w:val="007953DC"/>
    <w:rsid w:val="007B72F9"/>
    <w:rsid w:val="00812129"/>
    <w:rsid w:val="00956D00"/>
    <w:rsid w:val="00977E76"/>
    <w:rsid w:val="009842BA"/>
    <w:rsid w:val="00985BDF"/>
    <w:rsid w:val="009B4220"/>
    <w:rsid w:val="009C3EC0"/>
    <w:rsid w:val="009D5267"/>
    <w:rsid w:val="00A91B11"/>
    <w:rsid w:val="00AA7848"/>
    <w:rsid w:val="00AF60FB"/>
    <w:rsid w:val="00B459C1"/>
    <w:rsid w:val="00B60BDF"/>
    <w:rsid w:val="00B62143"/>
    <w:rsid w:val="00B85748"/>
    <w:rsid w:val="00B94544"/>
    <w:rsid w:val="00BA64C2"/>
    <w:rsid w:val="00BB2E20"/>
    <w:rsid w:val="00BF2492"/>
    <w:rsid w:val="00C05089"/>
    <w:rsid w:val="00C11F15"/>
    <w:rsid w:val="00C43B14"/>
    <w:rsid w:val="00C5513D"/>
    <w:rsid w:val="00C65F2C"/>
    <w:rsid w:val="00C821B6"/>
    <w:rsid w:val="00C84714"/>
    <w:rsid w:val="00CA21B7"/>
    <w:rsid w:val="00CB20AB"/>
    <w:rsid w:val="00CB38A1"/>
    <w:rsid w:val="00CB43D7"/>
    <w:rsid w:val="00CC3288"/>
    <w:rsid w:val="00CD481F"/>
    <w:rsid w:val="00CF3895"/>
    <w:rsid w:val="00CF44F7"/>
    <w:rsid w:val="00D075FC"/>
    <w:rsid w:val="00D474FB"/>
    <w:rsid w:val="00D52F93"/>
    <w:rsid w:val="00D733E3"/>
    <w:rsid w:val="00D81B9D"/>
    <w:rsid w:val="00DB05E8"/>
    <w:rsid w:val="00DC34C8"/>
    <w:rsid w:val="00E01FD5"/>
    <w:rsid w:val="00E51748"/>
    <w:rsid w:val="00E813BD"/>
    <w:rsid w:val="00EB1014"/>
    <w:rsid w:val="00EB1304"/>
    <w:rsid w:val="00EB13DC"/>
    <w:rsid w:val="00EB49FD"/>
    <w:rsid w:val="00EB560F"/>
    <w:rsid w:val="00EF12C8"/>
    <w:rsid w:val="00F138F3"/>
    <w:rsid w:val="00F148F1"/>
    <w:rsid w:val="00F710C2"/>
    <w:rsid w:val="00F74B41"/>
    <w:rsid w:val="00FC136B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86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8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8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8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58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58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58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58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58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58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8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86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586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586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586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586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586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586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586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586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D58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586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5867"/>
    <w:pPr>
      <w:spacing w:after="1000"/>
    </w:pPr>
    <w:rPr>
      <w:caps/>
      <w:color w:val="4683D1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867"/>
    <w:rPr>
      <w:caps/>
      <w:color w:val="4683D1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D5867"/>
    <w:rPr>
      <w:b/>
      <w:bCs/>
    </w:rPr>
  </w:style>
  <w:style w:type="character" w:styleId="Hervorhebung">
    <w:name w:val="Emphasis"/>
    <w:uiPriority w:val="20"/>
    <w:qFormat/>
    <w:rsid w:val="001D586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D5867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D586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D586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D586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586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58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586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1D586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1D586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1D586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1D586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1D586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5867"/>
    <w:pPr>
      <w:outlineLvl w:val="9"/>
    </w:pPr>
  </w:style>
  <w:style w:type="table" w:styleId="Tabellenraster">
    <w:name w:val="Table Grid"/>
    <w:basedOn w:val="NormaleTabelle"/>
    <w:uiPriority w:val="59"/>
    <w:rsid w:val="00542A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474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74FB"/>
    <w:rPr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D474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74FB"/>
    <w:rPr>
      <w:sz w:val="20"/>
    </w:rPr>
  </w:style>
  <w:style w:type="character" w:styleId="Hyperlink">
    <w:name w:val="Hyperlink"/>
    <w:basedOn w:val="Absatz-Standardschriftart"/>
    <w:uiPriority w:val="99"/>
    <w:unhideWhenUsed/>
    <w:rsid w:val="001167EF"/>
    <w:rPr>
      <w:color w:val="0000FF" w:themeColor="hyperlink"/>
      <w:u w:val="single"/>
    </w:rPr>
  </w:style>
  <w:style w:type="paragraph" w:customStyle="1" w:styleId="Default">
    <w:name w:val="Default"/>
    <w:rsid w:val="001167E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BD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VUP Mail">
      <a:dk1>
        <a:srgbClr val="1F497D"/>
      </a:dk1>
      <a:lt1>
        <a:srgbClr val="FFFFFF"/>
      </a:lt1>
      <a:dk2>
        <a:srgbClr val="8DB3E2"/>
      </a:dk2>
      <a:lt2>
        <a:srgbClr val="DDD9C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UP">
      <a:majorFont>
        <a:latin typeface="Calibri"/>
        <a:ea typeface="KaiTi"/>
        <a:cs typeface=""/>
      </a:majorFont>
      <a:minorFont>
        <a:latin typeface="Calibri"/>
        <a:ea typeface="DFKai-SB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4A5F-7CD6-4172-8943-132F04F0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Deeg</dc:creator>
  <cp:lastModifiedBy>Heike Thoma-Mayer</cp:lastModifiedBy>
  <cp:revision>3</cp:revision>
  <cp:lastPrinted>2014-07-15T09:50:00Z</cp:lastPrinted>
  <dcterms:created xsi:type="dcterms:W3CDTF">2014-07-15T09:50:00Z</dcterms:created>
  <dcterms:modified xsi:type="dcterms:W3CDTF">2014-07-15T10:08:00Z</dcterms:modified>
</cp:coreProperties>
</file>